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№1</w:t>
      </w:r>
      <w:r>
        <w:rPr>
          <w:rStyle w:val="cat-ExternalSystemDefinedgrp-27rplc-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Style w:val="cat-ExternalSystemDefinedgrp-27rplc-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2803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ExternalSystemDefinedgrp-27rplc-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</w:t>
      </w:r>
      <w:r>
        <w:rPr>
          <w:rStyle w:val="cat-ExternalSystemDefinedgrp-2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Мансийского судебного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16rplc-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подсудимого </w:t>
      </w:r>
      <w:r>
        <w:rPr>
          <w:rStyle w:val="cat-FIOgrp-1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посредством видеоконференц</w:t>
      </w:r>
      <w:r>
        <w:rPr>
          <w:rFonts w:ascii="Times New Roman" w:eastAsia="Times New Roman" w:hAnsi="Times New Roman" w:cs="Times New Roman"/>
          <w:sz w:val="28"/>
          <w:szCs w:val="28"/>
        </w:rPr>
        <w:t>связи с ИК</w:t>
      </w:r>
      <w:r>
        <w:rPr>
          <w:rStyle w:val="cat-ExternalSystem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 УФСИН России по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ащитника подсудимого 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адвоката </w:t>
      </w:r>
      <w:r>
        <w:rPr>
          <w:rStyle w:val="cat-FIOgrp-1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№1204 от 10.08.2015 и ордер №3471 от 30.08.2024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 материалы уголовного дела №1</w:t>
      </w:r>
      <w:r>
        <w:rPr>
          <w:rStyle w:val="cat-ExternalSystem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Style w:val="cat-ExternalSystem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2803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/2024 по заявлению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1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уголовной ответственности в порядке частного обвинения в отношении:</w:t>
      </w:r>
    </w:p>
    <w:p>
      <w:pPr>
        <w:spacing w:before="0" w:after="0"/>
        <w:ind w:left="1560"/>
        <w:jc w:val="both"/>
        <w:rPr>
          <w:sz w:val="28"/>
          <w:szCs w:val="28"/>
        </w:rPr>
      </w:pPr>
      <w:r>
        <w:rPr>
          <w:rStyle w:val="cat-FIOgrp-2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2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ExternalSystemDefinedgrp-27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месту пребывания по адресу: </w:t>
      </w:r>
      <w:r>
        <w:rPr>
          <w:rStyle w:val="cat-Addressgrp-5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отбывающего уголовное наказание по приговору Ханты</w:t>
      </w:r>
      <w:r>
        <w:rPr>
          <w:rStyle w:val="cat-ExternalSystemDefinedgrp-27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районного суда от 15.01.2024 в ФКУ ИК</w:t>
      </w:r>
      <w:r>
        <w:rPr>
          <w:rStyle w:val="cat-ExternalSystemDefinedgrp-27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19,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1560"/>
        <w:jc w:val="both"/>
        <w:rPr>
          <w:sz w:val="28"/>
          <w:szCs w:val="28"/>
        </w:rPr>
      </w:pPr>
      <w:r>
        <w:rPr>
          <w:rStyle w:val="cat-ExternalSystemDefinedgrp-27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15.01.2024 Ханты</w:t>
      </w:r>
      <w:r>
        <w:rPr>
          <w:rStyle w:val="cat-ExternalSystemDefinedgrp-27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Мансийским районным судом по ч.3 ст.30, ч.1 ст.228.1, ч.3 ст.30,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«г» ч.4 ст.228.1, </w:t>
      </w:r>
      <w:r>
        <w:rPr>
          <w:rFonts w:ascii="Times New Roman" w:eastAsia="Times New Roman" w:hAnsi="Times New Roman" w:cs="Times New Roman"/>
          <w:sz w:val="28"/>
          <w:szCs w:val="28"/>
        </w:rPr>
        <w:t>ч.2 ст.69 УК РФ к 7 годам 6 месяцам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свободы,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мера пресечения не избиралась,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</w:t>
      </w:r>
      <w:r>
        <w:rPr>
          <w:rFonts w:ascii="Times New Roman" w:eastAsia="Times New Roman" w:hAnsi="Times New Roman" w:cs="Times New Roman"/>
          <w:sz w:val="28"/>
          <w:szCs w:val="28"/>
        </w:rPr>
        <w:t>еступления, предусмотренного ч.1 ст.128.1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Кайдалов </w:t>
      </w:r>
      <w:r>
        <w:rPr>
          <w:rStyle w:val="cat-FIOgrp-22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</w:t>
      </w:r>
      <w:r>
        <w:rPr>
          <w:rStyle w:val="cat-UserDefinedgrp-31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</w:t>
      </w:r>
      <w:r>
        <w:rPr>
          <w:rFonts w:ascii="Times New Roman" w:eastAsia="Times New Roman" w:hAnsi="Times New Roman" w:cs="Times New Roman"/>
          <w:sz w:val="28"/>
          <w:szCs w:val="28"/>
        </w:rPr>
        <w:t>еступления, предусмотренного ч.1 ст.128.1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Частный обвинитель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(потерпевшая)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и её представитель </w:t>
      </w:r>
      <w:r>
        <w:rPr>
          <w:rStyle w:val="cat-UserDefinedgrp-30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 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назначенное на 03.09.2024 и в настоящее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явились</w:t>
      </w:r>
      <w:r>
        <w:rPr>
          <w:rFonts w:ascii="Times New Roman" w:eastAsia="Times New Roman" w:hAnsi="Times New Roman" w:cs="Times New Roman"/>
          <w:sz w:val="28"/>
          <w:szCs w:val="28"/>
        </w:rPr>
        <w:t>, о месте, дате и времени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об отложении слушания дела не просил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настоящее уголовное дело возбуждено на основании заявления частного обвинителя </w:t>
      </w:r>
      <w:r>
        <w:rPr>
          <w:rStyle w:val="cat-ExternalSystemDefinedgrp-27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потерпевшего </w:t>
      </w:r>
      <w:r>
        <w:rPr>
          <w:rStyle w:val="cat-UserDefinedgrp-31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22 УПК РФ предусмотрено право потерпевшего выдвигать и поддерживать обвинение по уголовным делам частного обвинения в порядке, установленном Уголовно</w:t>
      </w:r>
      <w:r>
        <w:rPr>
          <w:rStyle w:val="cat-ExternalSystemDefinedgrp-27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процессуальным кодексом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246 УПК РФ участие в судебном разбирательстве обвинителя обязательно.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ч.3 ст.</w:t>
      </w:r>
      <w:r>
        <w:rPr>
          <w:rFonts w:ascii="Times New Roman" w:eastAsia="Times New Roman" w:hAnsi="Times New Roman" w:cs="Times New Roman"/>
          <w:sz w:val="28"/>
          <w:szCs w:val="28"/>
        </w:rPr>
        <w:t>246 УПК РФ по уголовным делам частного обвинения обвинение в судебном разбирательстве поддерживает потерпевший.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43 УПК РФ частный обвинитель (потерпевший) наделяется правами, предусмотренными ч. 4, 5, 6 ст. 246 УПК РФ, по поддержанию частного обвинения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заседании. Согласно ч.3 ст.</w:t>
      </w:r>
      <w:r>
        <w:rPr>
          <w:rFonts w:ascii="Times New Roman" w:eastAsia="Times New Roman" w:hAnsi="Times New Roman" w:cs="Times New Roman"/>
          <w:sz w:val="28"/>
          <w:szCs w:val="28"/>
        </w:rPr>
        <w:t>249 УПК РФ по уголовным делам частного обвинения неявка потерпевшего без уважительных причин влечет за собой прекращение уголовного дела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основанию, предусмотренному п.5 ч.1 ст.</w:t>
      </w:r>
      <w:r>
        <w:rPr>
          <w:rFonts w:ascii="Times New Roman" w:eastAsia="Times New Roman" w:hAnsi="Times New Roman" w:cs="Times New Roman"/>
          <w:sz w:val="28"/>
          <w:szCs w:val="28"/>
        </w:rPr>
        <w:t>24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п.5 ч.1 ст.</w:t>
      </w:r>
      <w:r>
        <w:rPr>
          <w:rFonts w:ascii="Times New Roman" w:eastAsia="Times New Roman" w:hAnsi="Times New Roman" w:cs="Times New Roman"/>
          <w:sz w:val="28"/>
          <w:szCs w:val="28"/>
        </w:rPr>
        <w:t>24 УПК РФ уголовное дело не может быть возбуждено, а возбужденное уголовное дело подлежит прекращению в случае неявки частного обвинителя в судебное заседание без уважительных причин.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Указанный порядок предполагает возложение на лицо, пострадавшее от насилия, бремени доказывания события и других обстоятельств преступления, а также наделение его правом и обязанностью самостоятельно поддерживать обвинение в суде (статья 43 УПК РФ), при этом неявка данного липа без уважительной причины в суд влечет прекращение уголовного дела по основанию, предусмотренному пунктом 5 части первой статьи 24 УПК РФ (часть 3 статьи 249 УПК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(потерпевшая) </w:t>
      </w:r>
      <w:r>
        <w:rPr>
          <w:rStyle w:val="cat-UserDefinedgrp-29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23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времени, дате и месте судебного заседания, назначенного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03.09.2024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18.09.2024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извещена </w:t>
      </w:r>
      <w:r>
        <w:rPr>
          <w:rFonts w:ascii="Times New Roman" w:eastAsia="Times New Roman" w:hAnsi="Times New Roman" w:cs="Times New Roman"/>
          <w:sz w:val="28"/>
          <w:szCs w:val="28"/>
        </w:rPr>
        <w:t>надл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ежащим образом,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по делу </w:t>
      </w:r>
      <w:r>
        <w:rPr>
          <w:rFonts w:ascii="Times New Roman" w:eastAsia="Times New Roman" w:hAnsi="Times New Roman" w:cs="Times New Roman"/>
          <w:sz w:val="28"/>
          <w:szCs w:val="28"/>
        </w:rPr>
        <w:t>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>. Каких</w:t>
      </w:r>
      <w:r>
        <w:rPr>
          <w:rStyle w:val="cat-ExternalSystemDefinedgrp-27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либо ходатайств об отложении судебного заседания с приложением доказательств уважительности причин неявки,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чем, причину неявки частного обвинителя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(потерпевшего)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неуважительной, поскольку со стороны </w:t>
      </w:r>
      <w:r>
        <w:rPr>
          <w:rStyle w:val="cat-UserDefinedgrp-31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23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доказательств, свидетельствующих о невозможности явки, суду не предоставлено.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приходит к выводу, что уголовное дело подлежит прекращению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основанию, предусмотренному п.5 ч.1 ст.</w:t>
      </w:r>
      <w:r>
        <w:rPr>
          <w:rFonts w:ascii="Times New Roman" w:eastAsia="Times New Roman" w:hAnsi="Times New Roman" w:cs="Times New Roman"/>
          <w:sz w:val="28"/>
          <w:szCs w:val="28"/>
        </w:rPr>
        <w:t>24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Защиту интересов подсудимого </w:t>
      </w:r>
      <w:r>
        <w:rPr>
          <w:rStyle w:val="cat-FIOgrp-17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 соответствии со с</w:t>
      </w:r>
      <w:r>
        <w:rPr>
          <w:rFonts w:ascii="Times New Roman" w:eastAsia="Times New Roman" w:hAnsi="Times New Roman" w:cs="Times New Roman"/>
          <w:sz w:val="28"/>
          <w:szCs w:val="28"/>
        </w:rPr>
        <w:t>т.ст.</w:t>
      </w:r>
      <w:r>
        <w:rPr>
          <w:rFonts w:ascii="Times New Roman" w:eastAsia="Times New Roman" w:hAnsi="Times New Roman" w:cs="Times New Roman"/>
          <w:sz w:val="28"/>
          <w:szCs w:val="28"/>
        </w:rPr>
        <w:t>50, 51 УПК РФ осуществлял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адвокат </w:t>
      </w:r>
      <w:r>
        <w:rPr>
          <w:rStyle w:val="cat-FIOgrp-18rplc-5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ч.5 ст.</w:t>
      </w:r>
      <w:r>
        <w:rPr>
          <w:rFonts w:ascii="Times New Roman" w:eastAsia="Times New Roman" w:hAnsi="Times New Roman" w:cs="Times New Roman"/>
          <w:sz w:val="28"/>
          <w:szCs w:val="28"/>
        </w:rPr>
        <w:t>50 УПК РФ в случае, если адвокат участвует в уголовном судопроизводстве по назначению, расходы на оплату его труда компенсируются за счет средств федерального бюджета.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</w:t>
      </w:r>
      <w:r>
        <w:rPr>
          <w:rFonts w:ascii="Times New Roman" w:eastAsia="Times New Roman" w:hAnsi="Times New Roman" w:cs="Times New Roman"/>
          <w:sz w:val="28"/>
          <w:szCs w:val="28"/>
        </w:rPr>
        <w:t>131 УПК РФ суммы, выплачиваемые адвокату за оказание им юридической помощи в случае участия адвоката в уголовном судопроизводстве по назначению, являются процессуальными издержками, которые возмещаются за счет средств федерального бюджета либо средств участников уголовного судопроизводства.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Разрешая данный вопрос о процессуальных издержках, связанных с оплатой труда защитника в уголовном судопроизводстве по назначению в суде, суд, приходит к выводу, что процессуальные издержки, предусмотренные ст. 131 УПК РФ, должны быть отнесены на счет федерального бюджета.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 и руководствуясь ч.3 ст.249, п.5 ч.1 ст.</w:t>
      </w:r>
      <w:r>
        <w:rPr>
          <w:rFonts w:ascii="Times New Roman" w:eastAsia="Times New Roman" w:hAnsi="Times New Roman" w:cs="Times New Roman"/>
          <w:sz w:val="28"/>
          <w:szCs w:val="28"/>
        </w:rPr>
        <w:t>24 УПК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уголовное дело №1</w:t>
      </w:r>
      <w:r>
        <w:rPr>
          <w:rStyle w:val="cat-ExternalSystemDefinedgrp-27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Style w:val="cat-ExternalSystemDefinedgrp-27rplc-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2803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/2024 по заявлению </w:t>
      </w:r>
      <w:r>
        <w:rPr>
          <w:rStyle w:val="cat-UserDefinedgrp-31rplc-5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FIOgrp-19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уголовной ответственности в порядке частного обвинения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Кайдалова </w:t>
      </w:r>
      <w:r>
        <w:rPr>
          <w:rStyle w:val="cat-FIOgrp-20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преступле</w:t>
      </w:r>
      <w:r>
        <w:rPr>
          <w:rFonts w:ascii="Times New Roman" w:eastAsia="Times New Roman" w:hAnsi="Times New Roman" w:cs="Times New Roman"/>
          <w:sz w:val="28"/>
          <w:szCs w:val="28"/>
        </w:rPr>
        <w:t>ния, предусмотренного ч.1 ст.128.1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прекратить по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ию, предусмотренному п.5 ч.1 ст.</w:t>
      </w:r>
      <w:r>
        <w:rPr>
          <w:rFonts w:ascii="Times New Roman" w:eastAsia="Times New Roman" w:hAnsi="Times New Roman" w:cs="Times New Roman"/>
          <w:sz w:val="28"/>
          <w:szCs w:val="28"/>
        </w:rPr>
        <w:t>24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оплату вознаграждения защитнику в суде по назначению </w:t>
      </w:r>
      <w:r>
        <w:rPr>
          <w:rStyle w:val="cat-ExternalSystemDefinedgrp-27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отнести на счет федерального бюджета.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</w:t>
      </w:r>
      <w:r>
        <w:rPr>
          <w:rStyle w:val="cat-ExternalSystemDefinedgrp-27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Мансийский районный суд </w:t>
      </w:r>
      <w:r>
        <w:rPr>
          <w:rStyle w:val="cat-Addressgrp-7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ExternalSystemDefinedgrp-27rplc-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7rplc-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15 суток со дня его вынесения через мирового судью.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25rplc-6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25rplc-6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0">
    <w:name w:val="cat-ExternalSystemDefined grp-27 rplc-0"/>
    <w:basedOn w:val="DefaultParagraphFont"/>
  </w:style>
  <w:style w:type="character" w:customStyle="1" w:styleId="cat-ExternalSystemDefinedgrp-27rplc-1">
    <w:name w:val="cat-ExternalSystemDefined grp-27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ExternalSystemDefinedgrp-27rplc-3">
    <w:name w:val="cat-ExternalSystemDefined grp-27 rplc-3"/>
    <w:basedOn w:val="DefaultParagraphFont"/>
  </w:style>
  <w:style w:type="character" w:customStyle="1" w:styleId="cat-ExternalSystemDefinedgrp-27rplc-5">
    <w:name w:val="cat-ExternalSystemDefined grp-27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FIOgrp-16rplc-8">
    <w:name w:val="cat-FIO grp-16 rplc-8"/>
    <w:basedOn w:val="DefaultParagraphFont"/>
  </w:style>
  <w:style w:type="character" w:customStyle="1" w:styleId="cat-FIOgrp-17rplc-9">
    <w:name w:val="cat-FIO grp-17 rplc-9"/>
    <w:basedOn w:val="DefaultParagraphFont"/>
  </w:style>
  <w:style w:type="character" w:customStyle="1" w:styleId="cat-ExternalSystemDefinedgrp-27rplc-10">
    <w:name w:val="cat-ExternalSystemDefined grp-2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ExternalSystemDefinedgrp-27rplc-16">
    <w:name w:val="cat-ExternalSystemDefined grp-27 rplc-16"/>
    <w:basedOn w:val="DefaultParagraphFont"/>
  </w:style>
  <w:style w:type="character" w:customStyle="1" w:styleId="cat-ExternalSystemDefinedgrp-27rplc-17">
    <w:name w:val="cat-ExternalSystemDefined grp-27 rplc-17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PassportDatagrp-26rplc-21">
    <w:name w:val="cat-PassportData grp-26 rplc-21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ExternalSystemDefinedgrp-27rplc-24">
    <w:name w:val="cat-ExternalSystemDefined grp-27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ExternalSystemDefinedgrp-27rplc-27">
    <w:name w:val="cat-ExternalSystemDefined grp-27 rplc-27"/>
    <w:basedOn w:val="DefaultParagraphFont"/>
  </w:style>
  <w:style w:type="character" w:customStyle="1" w:styleId="cat-ExternalSystemDefinedgrp-27rplc-29">
    <w:name w:val="cat-ExternalSystemDefined grp-27 rplc-29"/>
    <w:basedOn w:val="DefaultParagraphFont"/>
  </w:style>
  <w:style w:type="character" w:customStyle="1" w:styleId="cat-ExternalSystemDefinedgrp-27rplc-30">
    <w:name w:val="cat-ExternalSystemDefined grp-27 rplc-30"/>
    <w:basedOn w:val="DefaultParagraphFont"/>
  </w:style>
  <w:style w:type="character" w:customStyle="1" w:styleId="cat-ExternalSystemDefinedgrp-27rplc-32">
    <w:name w:val="cat-ExternalSystemDefined grp-27 rplc-32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UserDefinedgrp-28rplc-36">
    <w:name w:val="cat-UserDefined grp-28 rplc-36"/>
    <w:basedOn w:val="DefaultParagraphFont"/>
  </w:style>
  <w:style w:type="character" w:customStyle="1" w:styleId="cat-UserDefinedgrp-29rplc-38">
    <w:name w:val="cat-UserDefined grp-29 rplc-38"/>
    <w:basedOn w:val="DefaultParagraphFont"/>
  </w:style>
  <w:style w:type="character" w:customStyle="1" w:styleId="cat-UserDefinedgrp-30rplc-40">
    <w:name w:val="cat-UserDefined grp-30 rplc-40"/>
    <w:basedOn w:val="DefaultParagraphFont"/>
  </w:style>
  <w:style w:type="character" w:customStyle="1" w:styleId="cat-ExternalSystemDefinedgrp-27rplc-43">
    <w:name w:val="cat-ExternalSystemDefined grp-27 rplc-43"/>
    <w:basedOn w:val="DefaultParagraphFont"/>
  </w:style>
  <w:style w:type="character" w:customStyle="1" w:styleId="cat-UserDefinedgrp-31rplc-44">
    <w:name w:val="cat-UserDefined grp-31 rplc-44"/>
    <w:basedOn w:val="DefaultParagraphFont"/>
  </w:style>
  <w:style w:type="character" w:customStyle="1" w:styleId="cat-ExternalSystemDefinedgrp-27rplc-46">
    <w:name w:val="cat-ExternalSystemDefined grp-27 rplc-46"/>
    <w:basedOn w:val="DefaultParagraphFont"/>
  </w:style>
  <w:style w:type="character" w:customStyle="1" w:styleId="cat-UserDefinedgrp-29rplc-47">
    <w:name w:val="cat-UserDefined grp-29 rplc-47"/>
    <w:basedOn w:val="DefaultParagraphFont"/>
  </w:style>
  <w:style w:type="character" w:customStyle="1" w:styleId="cat-FIOgrp-23rplc-48">
    <w:name w:val="cat-FIO grp-23 rplc-48"/>
    <w:basedOn w:val="DefaultParagraphFont"/>
  </w:style>
  <w:style w:type="character" w:customStyle="1" w:styleId="cat-ExternalSystemDefinedgrp-27rplc-51">
    <w:name w:val="cat-ExternalSystemDefined grp-27 rplc-51"/>
    <w:basedOn w:val="DefaultParagraphFont"/>
  </w:style>
  <w:style w:type="character" w:customStyle="1" w:styleId="cat-UserDefinedgrp-31rplc-52">
    <w:name w:val="cat-UserDefined grp-31 rplc-52"/>
    <w:basedOn w:val="DefaultParagraphFont"/>
  </w:style>
  <w:style w:type="character" w:customStyle="1" w:styleId="cat-FIOgrp-23rplc-53">
    <w:name w:val="cat-FIO grp-23 rplc-53"/>
    <w:basedOn w:val="DefaultParagraphFont"/>
  </w:style>
  <w:style w:type="character" w:customStyle="1" w:styleId="cat-FIOgrp-17rplc-54">
    <w:name w:val="cat-FIO grp-17 rplc-54"/>
    <w:basedOn w:val="DefaultParagraphFont"/>
  </w:style>
  <w:style w:type="character" w:customStyle="1" w:styleId="cat-FIOgrp-18rplc-55">
    <w:name w:val="cat-FIO grp-18 rplc-55"/>
    <w:basedOn w:val="DefaultParagraphFont"/>
  </w:style>
  <w:style w:type="character" w:customStyle="1" w:styleId="cat-ExternalSystemDefinedgrp-27rplc-56">
    <w:name w:val="cat-ExternalSystemDefined grp-27 rplc-56"/>
    <w:basedOn w:val="DefaultParagraphFont"/>
  </w:style>
  <w:style w:type="character" w:customStyle="1" w:styleId="cat-ExternalSystemDefinedgrp-27rplc-57">
    <w:name w:val="cat-ExternalSystemDefined grp-27 rplc-57"/>
    <w:basedOn w:val="DefaultParagraphFont"/>
  </w:style>
  <w:style w:type="character" w:customStyle="1" w:styleId="cat-UserDefinedgrp-31rplc-58">
    <w:name w:val="cat-UserDefined grp-31 rplc-58"/>
    <w:basedOn w:val="DefaultParagraphFont"/>
  </w:style>
  <w:style w:type="character" w:customStyle="1" w:styleId="cat-FIOgrp-19rplc-59">
    <w:name w:val="cat-FIO grp-19 rplc-59"/>
    <w:basedOn w:val="DefaultParagraphFont"/>
  </w:style>
  <w:style w:type="character" w:customStyle="1" w:styleId="cat-FIOgrp-20rplc-60">
    <w:name w:val="cat-FIO grp-20 rplc-60"/>
    <w:basedOn w:val="DefaultParagraphFont"/>
  </w:style>
  <w:style w:type="character" w:customStyle="1" w:styleId="cat-ExternalSystemDefinedgrp-27rplc-61">
    <w:name w:val="cat-ExternalSystemDefined grp-27 rplc-61"/>
    <w:basedOn w:val="DefaultParagraphFont"/>
  </w:style>
  <w:style w:type="character" w:customStyle="1" w:styleId="cat-ExternalSystemDefinedgrp-27rplc-62">
    <w:name w:val="cat-ExternalSystemDefined grp-27 rplc-62"/>
    <w:basedOn w:val="DefaultParagraphFont"/>
  </w:style>
  <w:style w:type="character" w:customStyle="1" w:styleId="cat-Addressgrp-7rplc-63">
    <w:name w:val="cat-Address grp-7 rplc-63"/>
    <w:basedOn w:val="DefaultParagraphFont"/>
  </w:style>
  <w:style w:type="character" w:customStyle="1" w:styleId="cat-ExternalSystemDefinedgrp-27rplc-64">
    <w:name w:val="cat-ExternalSystemDefined grp-27 rplc-64"/>
    <w:basedOn w:val="DefaultParagraphFont"/>
  </w:style>
  <w:style w:type="character" w:customStyle="1" w:styleId="cat-ExternalSystemDefinedgrp-27rplc-65">
    <w:name w:val="cat-ExternalSystemDefined grp-27 rplc-65"/>
    <w:basedOn w:val="DefaultParagraphFont"/>
  </w:style>
  <w:style w:type="character" w:customStyle="1" w:styleId="cat-Addressgrp-8rplc-66">
    <w:name w:val="cat-Address grp-8 rplc-66"/>
    <w:basedOn w:val="DefaultParagraphFont"/>
  </w:style>
  <w:style w:type="character" w:customStyle="1" w:styleId="cat-FIOgrp-25rplc-67">
    <w:name w:val="cat-FIO grp-25 rplc-67"/>
    <w:basedOn w:val="DefaultParagraphFont"/>
  </w:style>
  <w:style w:type="character" w:customStyle="1" w:styleId="cat-FIOgrp-25rplc-68">
    <w:name w:val="cat-FIO grp-25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